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90" w:rsidRDefault="00CE1790" w:rsidP="00957B82">
      <w:pPr>
        <w:jc w:val="center"/>
        <w:rPr>
          <w:rFonts w:ascii="Times New Roman" w:eastAsia="Times New Roman" w:hAnsi="Times New Roman"/>
          <w:bCs/>
          <w:color w:val="333333"/>
          <w:lang w:bidi="ar-SA"/>
        </w:rPr>
      </w:pPr>
      <w:r>
        <w:rPr>
          <w:rFonts w:ascii="Times New Roman" w:eastAsia="Times New Roman" w:hAnsi="Times New Roman"/>
          <w:bCs/>
          <w:color w:val="333333"/>
          <w:lang w:bidi="ar-SA"/>
        </w:rPr>
        <w:t>Fillmore County Public Health AIM Statement</w:t>
      </w:r>
    </w:p>
    <w:p w:rsidR="00957B82" w:rsidRDefault="00957B82" w:rsidP="00957B82">
      <w:pPr>
        <w:jc w:val="center"/>
        <w:rPr>
          <w:rFonts w:ascii="Times New Roman" w:eastAsia="Times New Roman" w:hAnsi="Times New Roman"/>
          <w:bCs/>
          <w:color w:val="333333"/>
          <w:lang w:bidi="ar-SA"/>
        </w:rPr>
      </w:pPr>
      <w:r>
        <w:rPr>
          <w:rFonts w:ascii="Times New Roman" w:eastAsia="Times New Roman" w:hAnsi="Times New Roman"/>
          <w:bCs/>
          <w:color w:val="333333"/>
          <w:lang w:bidi="ar-SA"/>
        </w:rPr>
        <w:t>QI Project:  Health Problems and Environmental Public Health Hazards</w:t>
      </w:r>
    </w:p>
    <w:p w:rsidR="00CE1790" w:rsidRDefault="00CE1790" w:rsidP="003F213A">
      <w:pPr>
        <w:rPr>
          <w:rFonts w:ascii="Times New Roman" w:eastAsia="Times New Roman" w:hAnsi="Times New Roman"/>
          <w:bCs/>
          <w:color w:val="333333"/>
          <w:lang w:bidi="ar-SA"/>
        </w:rPr>
      </w:pPr>
    </w:p>
    <w:p w:rsidR="00880F2C" w:rsidRDefault="00880F2C" w:rsidP="003F213A">
      <w:pPr>
        <w:rPr>
          <w:rFonts w:ascii="Times New Roman" w:eastAsia="Times New Roman" w:hAnsi="Times New Roman"/>
          <w:bCs/>
          <w:color w:val="333333"/>
          <w:lang w:bidi="ar-SA"/>
        </w:rPr>
      </w:pPr>
      <w:r>
        <w:rPr>
          <w:rFonts w:ascii="Times New Roman" w:eastAsia="Times New Roman" w:hAnsi="Times New Roman"/>
          <w:bCs/>
          <w:color w:val="333333"/>
          <w:lang w:bidi="ar-SA"/>
        </w:rPr>
        <w:t>Version 1 (Drafted 12/4/2012):</w:t>
      </w:r>
    </w:p>
    <w:p w:rsidR="003F213A" w:rsidRPr="00880F2C" w:rsidRDefault="003F213A" w:rsidP="003F213A">
      <w:pPr>
        <w:rPr>
          <w:rFonts w:ascii="Times New Roman" w:eastAsia="Times New Roman" w:hAnsi="Times New Roman"/>
          <w:bCs/>
          <w:color w:val="333333"/>
          <w:lang w:bidi="ar-SA"/>
        </w:rPr>
      </w:pPr>
      <w:r w:rsidRPr="00880F2C">
        <w:rPr>
          <w:rFonts w:ascii="Times New Roman" w:eastAsia="Times New Roman" w:hAnsi="Times New Roman"/>
          <w:bCs/>
          <w:color w:val="333333"/>
          <w:lang w:bidi="ar-SA"/>
        </w:rPr>
        <w:t xml:space="preserve">By November 2012, 90% of health and environmental health hazards will be investigated within twenty-four hours after initial notification to Fillmore County Public Health or referred to appropriate partnering agencies.  </w:t>
      </w:r>
    </w:p>
    <w:p w:rsidR="003F213A" w:rsidRPr="00880F2C" w:rsidRDefault="003F213A" w:rsidP="003F213A">
      <w:pPr>
        <w:rPr>
          <w:rFonts w:ascii="Times New Roman" w:eastAsia="Times New Roman" w:hAnsi="Times New Roman"/>
          <w:bCs/>
          <w:color w:val="333333"/>
          <w:lang w:bidi="ar-SA"/>
        </w:rPr>
      </w:pPr>
    </w:p>
    <w:p w:rsidR="00880F2C" w:rsidRPr="00880F2C" w:rsidRDefault="00880F2C" w:rsidP="003F213A">
      <w:pPr>
        <w:rPr>
          <w:rFonts w:ascii="Times New Roman" w:eastAsia="Times New Roman" w:hAnsi="Times New Roman"/>
          <w:bCs/>
          <w:color w:val="333333"/>
          <w:lang w:bidi="ar-SA"/>
        </w:rPr>
      </w:pPr>
      <w:r>
        <w:rPr>
          <w:rFonts w:ascii="Times New Roman" w:eastAsia="Times New Roman" w:hAnsi="Times New Roman"/>
          <w:bCs/>
          <w:color w:val="333333"/>
          <w:lang w:bidi="ar-SA"/>
        </w:rPr>
        <w:t>Version 2 (Drafted 5/23/2012)</w:t>
      </w:r>
      <w:r w:rsidRPr="00880F2C">
        <w:rPr>
          <w:rFonts w:ascii="Times New Roman" w:eastAsia="Times New Roman" w:hAnsi="Times New Roman"/>
          <w:bCs/>
          <w:color w:val="333333"/>
          <w:lang w:bidi="ar-SA"/>
        </w:rPr>
        <w:t xml:space="preserve">:  </w:t>
      </w:r>
      <w:r w:rsidRPr="00880F2C">
        <w:rPr>
          <w:rFonts w:ascii="Times New Roman" w:hAnsi="Times New Roman"/>
          <w:color w:val="333333"/>
        </w:rPr>
        <w:t>By November 2012, 90% of investigations regarding health problems and environmental health hazards conducted by Fillmore County Public Health will occur within 24 hours after initial notification as compared to the current investigation onset time of 43 hours.</w:t>
      </w:r>
    </w:p>
    <w:p w:rsidR="003F213A" w:rsidRPr="00880F2C" w:rsidRDefault="003F213A" w:rsidP="003F213A">
      <w:pPr>
        <w:rPr>
          <w:rFonts w:ascii="Times New Roman" w:eastAsia="Times New Roman" w:hAnsi="Times New Roman"/>
          <w:bCs/>
          <w:color w:val="333333"/>
          <w:lang w:bidi="ar-SA"/>
        </w:rPr>
      </w:pPr>
    </w:p>
    <w:p w:rsidR="003F213A" w:rsidRDefault="00E857EB" w:rsidP="003F213A">
      <w:pPr>
        <w:rPr>
          <w:rFonts w:ascii="Times New Roman" w:hAnsi="Times New Roman"/>
          <w:color w:val="333333"/>
        </w:rPr>
      </w:pPr>
      <w:r>
        <w:rPr>
          <w:rFonts w:ascii="Times New Roman" w:eastAsia="Times New Roman" w:hAnsi="Times New Roman"/>
          <w:bCs/>
          <w:color w:val="333333"/>
          <w:lang w:bidi="ar-SA"/>
        </w:rPr>
        <w:t>Version 3 (Drafted 5/30</w:t>
      </w:r>
      <w:r w:rsidR="00880F2C">
        <w:rPr>
          <w:rFonts w:ascii="Times New Roman" w:eastAsia="Times New Roman" w:hAnsi="Times New Roman"/>
          <w:bCs/>
          <w:color w:val="333333"/>
          <w:lang w:bidi="ar-SA"/>
        </w:rPr>
        <w:t>/2012):</w:t>
      </w:r>
      <w:r w:rsidR="00141E91">
        <w:rPr>
          <w:rFonts w:ascii="Times New Roman" w:eastAsia="Times New Roman" w:hAnsi="Times New Roman"/>
          <w:bCs/>
          <w:color w:val="333333"/>
          <w:lang w:bidi="ar-SA"/>
        </w:rPr>
        <w:t xml:space="preserve">  </w:t>
      </w:r>
      <w:r w:rsidR="00141E91" w:rsidRPr="00880F2C">
        <w:rPr>
          <w:rFonts w:ascii="Times New Roman" w:hAnsi="Times New Roman"/>
          <w:color w:val="333333"/>
        </w:rPr>
        <w:t xml:space="preserve">By November 2012, 90% of </w:t>
      </w:r>
      <w:r w:rsidR="00EA23A1">
        <w:rPr>
          <w:rFonts w:ascii="Times New Roman" w:hAnsi="Times New Roman"/>
          <w:color w:val="333333"/>
        </w:rPr>
        <w:t xml:space="preserve">initial </w:t>
      </w:r>
      <w:r w:rsidR="00141E91" w:rsidRPr="00880F2C">
        <w:rPr>
          <w:rFonts w:ascii="Times New Roman" w:hAnsi="Times New Roman"/>
          <w:color w:val="333333"/>
        </w:rPr>
        <w:t>investigations regarding health problems and environmental health hazards conducted by Fillmore County Public Health wi</w:t>
      </w:r>
      <w:r w:rsidR="00EA23A1">
        <w:rPr>
          <w:rFonts w:ascii="Times New Roman" w:hAnsi="Times New Roman"/>
          <w:color w:val="333333"/>
        </w:rPr>
        <w:t xml:space="preserve">ll occur within 24 hours after </w:t>
      </w:r>
      <w:r w:rsidR="00141E91" w:rsidRPr="00880F2C">
        <w:rPr>
          <w:rFonts w:ascii="Times New Roman" w:hAnsi="Times New Roman"/>
          <w:color w:val="333333"/>
        </w:rPr>
        <w:t xml:space="preserve">notification as compared to the current </w:t>
      </w:r>
      <w:r w:rsidR="00A22634">
        <w:rPr>
          <w:rFonts w:ascii="Times New Roman" w:hAnsi="Times New Roman"/>
          <w:color w:val="333333"/>
        </w:rPr>
        <w:t xml:space="preserve">investigation onset time of 38.4 </w:t>
      </w:r>
      <w:r w:rsidR="00141E91" w:rsidRPr="00880F2C">
        <w:rPr>
          <w:rFonts w:ascii="Times New Roman" w:hAnsi="Times New Roman"/>
          <w:color w:val="333333"/>
        </w:rPr>
        <w:t>hours.</w:t>
      </w:r>
      <w:r w:rsidR="00D91E32">
        <w:rPr>
          <w:rFonts w:ascii="Times New Roman" w:hAnsi="Times New Roman"/>
          <w:color w:val="333333"/>
        </w:rPr>
        <w:t xml:space="preserve">  This will reduce the </w:t>
      </w:r>
      <w:r w:rsidR="00B04456">
        <w:rPr>
          <w:rFonts w:ascii="Times New Roman" w:hAnsi="Times New Roman"/>
          <w:color w:val="333333"/>
        </w:rPr>
        <w:t xml:space="preserve">initial </w:t>
      </w:r>
      <w:r w:rsidR="00D91E32">
        <w:rPr>
          <w:rFonts w:ascii="Times New Roman" w:hAnsi="Times New Roman"/>
          <w:color w:val="333333"/>
        </w:rPr>
        <w:t>response for animal bites, infectious disea</w:t>
      </w:r>
      <w:r w:rsidR="00B04456">
        <w:rPr>
          <w:rFonts w:ascii="Times New Roman" w:hAnsi="Times New Roman"/>
          <w:color w:val="333333"/>
        </w:rPr>
        <w:t>ses, and nuisances from 72, 36</w:t>
      </w:r>
      <w:r w:rsidR="00D91E32">
        <w:rPr>
          <w:rFonts w:ascii="Times New Roman" w:hAnsi="Times New Roman"/>
          <w:color w:val="333333"/>
        </w:rPr>
        <w:t>, and 38.4 hours respectively to within 24 hours.</w:t>
      </w:r>
    </w:p>
    <w:p w:rsidR="002E44DC" w:rsidRDefault="002E44DC" w:rsidP="003F213A">
      <w:pPr>
        <w:rPr>
          <w:rFonts w:ascii="Times New Roman" w:hAnsi="Times New Roman"/>
          <w:color w:val="333333"/>
        </w:rPr>
      </w:pPr>
    </w:p>
    <w:p w:rsidR="002E44DC" w:rsidRDefault="002E44DC" w:rsidP="002E44DC">
      <w:pPr>
        <w:rPr>
          <w:rFonts w:ascii="Times New Roman" w:hAnsi="Times New Roman"/>
          <w:color w:val="333333"/>
        </w:rPr>
      </w:pPr>
      <w:r>
        <w:rPr>
          <w:rFonts w:ascii="Times New Roman" w:eastAsia="Times New Roman" w:hAnsi="Times New Roman"/>
          <w:bCs/>
          <w:color w:val="333333"/>
          <w:lang w:bidi="ar-SA"/>
        </w:rPr>
        <w:t xml:space="preserve">Version 4 (Drafted </w:t>
      </w:r>
      <w:r w:rsidR="00866889">
        <w:rPr>
          <w:rFonts w:ascii="Times New Roman" w:eastAsia="Times New Roman" w:hAnsi="Times New Roman"/>
          <w:bCs/>
          <w:color w:val="333333"/>
          <w:lang w:bidi="ar-SA"/>
        </w:rPr>
        <w:t>8/1</w:t>
      </w:r>
      <w:r>
        <w:rPr>
          <w:rFonts w:ascii="Times New Roman" w:eastAsia="Times New Roman" w:hAnsi="Times New Roman"/>
          <w:bCs/>
          <w:color w:val="333333"/>
          <w:lang w:bidi="ar-SA"/>
        </w:rPr>
        <w:t xml:space="preserve">0/2012):  </w:t>
      </w:r>
      <w:bookmarkStart w:id="0" w:name="_GoBack"/>
      <w:r w:rsidRPr="00880F2C">
        <w:rPr>
          <w:rFonts w:ascii="Times New Roman" w:hAnsi="Times New Roman"/>
          <w:color w:val="333333"/>
        </w:rPr>
        <w:t xml:space="preserve">By November 2012, 90% of </w:t>
      </w:r>
      <w:r>
        <w:rPr>
          <w:rFonts w:ascii="Times New Roman" w:hAnsi="Times New Roman"/>
          <w:color w:val="333333"/>
        </w:rPr>
        <w:t xml:space="preserve">initial </w:t>
      </w:r>
      <w:r w:rsidRPr="00880F2C">
        <w:rPr>
          <w:rFonts w:ascii="Times New Roman" w:hAnsi="Times New Roman"/>
          <w:color w:val="333333"/>
        </w:rPr>
        <w:t>investigations regarding health problems and environmental health hazards conducted by Fillmore County Public Health wi</w:t>
      </w:r>
      <w:r>
        <w:rPr>
          <w:rFonts w:ascii="Times New Roman" w:hAnsi="Times New Roman"/>
          <w:color w:val="333333"/>
        </w:rPr>
        <w:t xml:space="preserve">ll occur within 24 hours after </w:t>
      </w:r>
      <w:r w:rsidRPr="00880F2C">
        <w:rPr>
          <w:rFonts w:ascii="Times New Roman" w:hAnsi="Times New Roman"/>
          <w:color w:val="333333"/>
        </w:rPr>
        <w:t xml:space="preserve">notification as compared to the current </w:t>
      </w:r>
      <w:r>
        <w:rPr>
          <w:rFonts w:ascii="Times New Roman" w:hAnsi="Times New Roman"/>
          <w:color w:val="333333"/>
        </w:rPr>
        <w:t xml:space="preserve">investigation onset time of 38.4 </w:t>
      </w:r>
      <w:r w:rsidRPr="00880F2C">
        <w:rPr>
          <w:rFonts w:ascii="Times New Roman" w:hAnsi="Times New Roman"/>
          <w:color w:val="333333"/>
        </w:rPr>
        <w:t>hours.</w:t>
      </w:r>
      <w:r>
        <w:rPr>
          <w:rFonts w:ascii="Times New Roman" w:hAnsi="Times New Roman"/>
          <w:color w:val="333333"/>
        </w:rPr>
        <w:t xml:space="preserve">  Documentation and monitoring of health problems and environmental health hazards will take place using PH-Doc, which is a real-time system with reporting features that can track both response time and efforts.  Completion of this project will meet the required components of PHAB Standard 2.1.  In add</w:t>
      </w:r>
      <w:r w:rsidR="00866889">
        <w:rPr>
          <w:rFonts w:ascii="Times New Roman" w:hAnsi="Times New Roman"/>
          <w:color w:val="333333"/>
        </w:rPr>
        <w:t>ition, Fillmore Co</w:t>
      </w:r>
      <w:r w:rsidR="00B36A21">
        <w:rPr>
          <w:rFonts w:ascii="Times New Roman" w:hAnsi="Times New Roman"/>
          <w:color w:val="333333"/>
        </w:rPr>
        <w:t>unty Public Health will provide</w:t>
      </w:r>
      <w:r w:rsidR="00866889">
        <w:rPr>
          <w:rFonts w:ascii="Times New Roman" w:hAnsi="Times New Roman"/>
          <w:color w:val="333333"/>
        </w:rPr>
        <w:t xml:space="preserve"> these resources and reporting tools to other public health agencies in Minnesota who utilize PH-Doc so that they may better respond to health problems and environmental health hazards.</w:t>
      </w:r>
      <w:bookmarkEnd w:id="0"/>
    </w:p>
    <w:p w:rsidR="002E44DC" w:rsidRDefault="002E44DC" w:rsidP="003F213A">
      <w:pPr>
        <w:rPr>
          <w:rFonts w:ascii="Times New Roman" w:hAnsi="Times New Roman"/>
          <w:color w:val="333333"/>
        </w:rPr>
      </w:pPr>
    </w:p>
    <w:p w:rsidR="00906FF3" w:rsidRDefault="00906FF3" w:rsidP="003F213A">
      <w:pPr>
        <w:rPr>
          <w:rFonts w:ascii="Times New Roman" w:hAnsi="Times New Roman"/>
          <w:color w:val="333333"/>
        </w:rPr>
      </w:pPr>
    </w:p>
    <w:tbl>
      <w:tblPr>
        <w:tblStyle w:val="TableGrid"/>
        <w:tblW w:w="0" w:type="auto"/>
        <w:tblLook w:val="04A0" w:firstRow="1" w:lastRow="0" w:firstColumn="1" w:lastColumn="0" w:noHBand="0" w:noVBand="1"/>
      </w:tblPr>
      <w:tblGrid>
        <w:gridCol w:w="2268"/>
        <w:gridCol w:w="1687"/>
        <w:gridCol w:w="1868"/>
        <w:gridCol w:w="1867"/>
        <w:gridCol w:w="1868"/>
      </w:tblGrid>
      <w:tr w:rsidR="00906FF3" w:rsidTr="00CD4929">
        <w:tc>
          <w:tcPr>
            <w:tcW w:w="2268" w:type="dxa"/>
          </w:tcPr>
          <w:p w:rsidR="00906FF3" w:rsidRDefault="00906FF3" w:rsidP="0016420A"/>
        </w:tc>
        <w:tc>
          <w:tcPr>
            <w:tcW w:w="1687" w:type="dxa"/>
          </w:tcPr>
          <w:p w:rsidR="00906FF3" w:rsidRDefault="00906FF3" w:rsidP="00906FF3">
            <w:r>
              <w:t xml:space="preserve">Range of Hours Elapsed Between Incident Onset Until FCPH Receives Notification </w:t>
            </w:r>
          </w:p>
        </w:tc>
        <w:tc>
          <w:tcPr>
            <w:tcW w:w="1868" w:type="dxa"/>
          </w:tcPr>
          <w:p w:rsidR="00906FF3" w:rsidRDefault="00906FF3" w:rsidP="0016420A">
            <w:r>
              <w:t>Average Hours Elapsed Between Incident Onset Until FCPH Receives Notification</w:t>
            </w:r>
          </w:p>
        </w:tc>
        <w:tc>
          <w:tcPr>
            <w:tcW w:w="1867" w:type="dxa"/>
          </w:tcPr>
          <w:p w:rsidR="00906FF3" w:rsidRDefault="00842D42" w:rsidP="00451438">
            <w:r>
              <w:t xml:space="preserve">Range of Hours Elapsed Between </w:t>
            </w:r>
            <w:r w:rsidR="00451438">
              <w:t xml:space="preserve">FCPH </w:t>
            </w:r>
            <w:r>
              <w:t>Notification</w:t>
            </w:r>
            <w:r w:rsidR="00451438">
              <w:t xml:space="preserve"> and Initial Investigation</w:t>
            </w:r>
          </w:p>
        </w:tc>
        <w:tc>
          <w:tcPr>
            <w:tcW w:w="1868" w:type="dxa"/>
          </w:tcPr>
          <w:p w:rsidR="00906FF3" w:rsidRDefault="00842D42" w:rsidP="00451438">
            <w:r>
              <w:t xml:space="preserve">Average </w:t>
            </w:r>
            <w:r w:rsidR="00451438">
              <w:t>Hours Elapsed Between FCPH Notification and Initial Investigation</w:t>
            </w:r>
          </w:p>
        </w:tc>
      </w:tr>
      <w:tr w:rsidR="00906FF3" w:rsidTr="00CD4929">
        <w:tc>
          <w:tcPr>
            <w:tcW w:w="2268" w:type="dxa"/>
          </w:tcPr>
          <w:p w:rsidR="00906FF3" w:rsidRDefault="00906FF3" w:rsidP="0016420A">
            <w:r>
              <w:t>Animal Bites</w:t>
            </w:r>
            <w:r w:rsidR="00CD4929">
              <w:t xml:space="preserve"> (3)</w:t>
            </w:r>
          </w:p>
        </w:tc>
        <w:tc>
          <w:tcPr>
            <w:tcW w:w="1687" w:type="dxa"/>
          </w:tcPr>
          <w:p w:rsidR="00906FF3" w:rsidRDefault="00906FF3" w:rsidP="0016420A">
            <w:r>
              <w:t>24 to 144</w:t>
            </w:r>
          </w:p>
        </w:tc>
        <w:tc>
          <w:tcPr>
            <w:tcW w:w="1868" w:type="dxa"/>
          </w:tcPr>
          <w:p w:rsidR="00906FF3" w:rsidRDefault="00906FF3" w:rsidP="00906FF3">
            <w:r>
              <w:t>79.2</w:t>
            </w:r>
          </w:p>
        </w:tc>
        <w:tc>
          <w:tcPr>
            <w:tcW w:w="1867" w:type="dxa"/>
          </w:tcPr>
          <w:p w:rsidR="00906FF3" w:rsidRDefault="00451438" w:rsidP="0016420A">
            <w:r>
              <w:t>24 to 144</w:t>
            </w:r>
          </w:p>
        </w:tc>
        <w:tc>
          <w:tcPr>
            <w:tcW w:w="1868" w:type="dxa"/>
          </w:tcPr>
          <w:p w:rsidR="00906FF3" w:rsidRDefault="00906FF3" w:rsidP="0016420A">
            <w:r>
              <w:t>7</w:t>
            </w:r>
            <w:r w:rsidR="00842D42">
              <w:t>2</w:t>
            </w:r>
          </w:p>
        </w:tc>
      </w:tr>
      <w:tr w:rsidR="00906FF3" w:rsidTr="00CD4929">
        <w:tc>
          <w:tcPr>
            <w:tcW w:w="2268" w:type="dxa"/>
          </w:tcPr>
          <w:p w:rsidR="00906FF3" w:rsidRDefault="00906FF3" w:rsidP="0016420A">
            <w:r>
              <w:t>Clan</w:t>
            </w:r>
            <w:r w:rsidR="00CD4929">
              <w:t>destine Laboratories (5)</w:t>
            </w:r>
          </w:p>
        </w:tc>
        <w:tc>
          <w:tcPr>
            <w:tcW w:w="1687" w:type="dxa"/>
          </w:tcPr>
          <w:p w:rsidR="00906FF3" w:rsidRDefault="00906FF3" w:rsidP="0016420A">
            <w:r>
              <w:t>24 to 48</w:t>
            </w:r>
          </w:p>
        </w:tc>
        <w:tc>
          <w:tcPr>
            <w:tcW w:w="1868" w:type="dxa"/>
          </w:tcPr>
          <w:p w:rsidR="00906FF3" w:rsidRDefault="00906FF3" w:rsidP="00906FF3">
            <w:r>
              <w:t>29</w:t>
            </w:r>
          </w:p>
        </w:tc>
        <w:tc>
          <w:tcPr>
            <w:tcW w:w="1867" w:type="dxa"/>
          </w:tcPr>
          <w:p w:rsidR="00906FF3" w:rsidRDefault="00451438" w:rsidP="0016420A">
            <w:r>
              <w:t>24</w:t>
            </w:r>
          </w:p>
        </w:tc>
        <w:tc>
          <w:tcPr>
            <w:tcW w:w="1868" w:type="dxa"/>
          </w:tcPr>
          <w:p w:rsidR="00906FF3" w:rsidRDefault="00842D42" w:rsidP="0016420A">
            <w:r>
              <w:t>24</w:t>
            </w:r>
          </w:p>
        </w:tc>
      </w:tr>
      <w:tr w:rsidR="00906FF3" w:rsidTr="00CD4929">
        <w:tc>
          <w:tcPr>
            <w:tcW w:w="2268" w:type="dxa"/>
          </w:tcPr>
          <w:p w:rsidR="00CD4929" w:rsidRDefault="00906FF3" w:rsidP="0016420A">
            <w:r>
              <w:t xml:space="preserve">Infectious </w:t>
            </w:r>
          </w:p>
          <w:p w:rsidR="00906FF3" w:rsidRDefault="00906FF3" w:rsidP="0016420A">
            <w:r>
              <w:t>Diseases</w:t>
            </w:r>
            <w:r w:rsidR="00CD4929">
              <w:t xml:space="preserve"> (12)</w:t>
            </w:r>
          </w:p>
        </w:tc>
        <w:tc>
          <w:tcPr>
            <w:tcW w:w="1687" w:type="dxa"/>
          </w:tcPr>
          <w:p w:rsidR="00906FF3" w:rsidRDefault="00906FF3" w:rsidP="0016420A">
            <w:r>
              <w:t>24 to 1032</w:t>
            </w:r>
          </w:p>
        </w:tc>
        <w:tc>
          <w:tcPr>
            <w:tcW w:w="1868" w:type="dxa"/>
          </w:tcPr>
          <w:p w:rsidR="00906FF3" w:rsidRDefault="00906FF3" w:rsidP="0016420A">
            <w:r>
              <w:t>343.2</w:t>
            </w:r>
          </w:p>
        </w:tc>
        <w:tc>
          <w:tcPr>
            <w:tcW w:w="1867" w:type="dxa"/>
          </w:tcPr>
          <w:p w:rsidR="00906FF3" w:rsidRDefault="00451438" w:rsidP="0016420A">
            <w:r>
              <w:t>24 to 120</w:t>
            </w:r>
          </w:p>
        </w:tc>
        <w:tc>
          <w:tcPr>
            <w:tcW w:w="1868" w:type="dxa"/>
          </w:tcPr>
          <w:p w:rsidR="00906FF3" w:rsidRDefault="00906FF3" w:rsidP="0016420A">
            <w:r>
              <w:t>3</w:t>
            </w:r>
            <w:r w:rsidR="00842D42">
              <w:t>6</w:t>
            </w:r>
          </w:p>
        </w:tc>
      </w:tr>
      <w:tr w:rsidR="00906FF3" w:rsidTr="00CD4929">
        <w:tc>
          <w:tcPr>
            <w:tcW w:w="2268" w:type="dxa"/>
          </w:tcPr>
          <w:p w:rsidR="00906FF3" w:rsidRDefault="00906FF3" w:rsidP="0016420A">
            <w:r>
              <w:t>Nuisances</w:t>
            </w:r>
            <w:r w:rsidR="00CD4929">
              <w:t xml:space="preserve"> (5)</w:t>
            </w:r>
          </w:p>
        </w:tc>
        <w:tc>
          <w:tcPr>
            <w:tcW w:w="1687" w:type="dxa"/>
          </w:tcPr>
          <w:p w:rsidR="00906FF3" w:rsidRDefault="00906FF3" w:rsidP="0016420A">
            <w:r>
              <w:t>24</w:t>
            </w:r>
          </w:p>
        </w:tc>
        <w:tc>
          <w:tcPr>
            <w:tcW w:w="1868" w:type="dxa"/>
          </w:tcPr>
          <w:p w:rsidR="00906FF3" w:rsidRDefault="00906FF3" w:rsidP="0016420A">
            <w:r>
              <w:t>24</w:t>
            </w:r>
          </w:p>
        </w:tc>
        <w:tc>
          <w:tcPr>
            <w:tcW w:w="1867" w:type="dxa"/>
          </w:tcPr>
          <w:p w:rsidR="00906FF3" w:rsidRDefault="00451438" w:rsidP="0016420A">
            <w:r>
              <w:t>24 to 96</w:t>
            </w:r>
          </w:p>
        </w:tc>
        <w:tc>
          <w:tcPr>
            <w:tcW w:w="1868" w:type="dxa"/>
          </w:tcPr>
          <w:p w:rsidR="00906FF3" w:rsidRDefault="00906FF3" w:rsidP="0016420A">
            <w:r>
              <w:t>3</w:t>
            </w:r>
            <w:r w:rsidR="00451438">
              <w:t>8.4</w:t>
            </w:r>
          </w:p>
        </w:tc>
      </w:tr>
      <w:tr w:rsidR="00906FF3" w:rsidTr="00CD4929">
        <w:tc>
          <w:tcPr>
            <w:tcW w:w="2268" w:type="dxa"/>
          </w:tcPr>
          <w:p w:rsidR="00906FF3" w:rsidRPr="00CF148B" w:rsidRDefault="00906FF3" w:rsidP="0016420A">
            <w:pPr>
              <w:rPr>
                <w:b/>
              </w:rPr>
            </w:pPr>
            <w:r w:rsidRPr="00CF148B">
              <w:rPr>
                <w:b/>
              </w:rPr>
              <w:t>TOTAL</w:t>
            </w:r>
            <w:r w:rsidR="00CD4929">
              <w:rPr>
                <w:b/>
              </w:rPr>
              <w:t xml:space="preserve"> (25)</w:t>
            </w:r>
          </w:p>
        </w:tc>
        <w:tc>
          <w:tcPr>
            <w:tcW w:w="1687" w:type="dxa"/>
          </w:tcPr>
          <w:p w:rsidR="00906FF3" w:rsidRPr="00CF148B" w:rsidRDefault="00906FF3" w:rsidP="0016420A">
            <w:pPr>
              <w:rPr>
                <w:b/>
              </w:rPr>
            </w:pPr>
            <w:r w:rsidRPr="00CF148B">
              <w:rPr>
                <w:b/>
              </w:rPr>
              <w:t>24  to 1032</w:t>
            </w:r>
          </w:p>
        </w:tc>
        <w:tc>
          <w:tcPr>
            <w:tcW w:w="1868" w:type="dxa"/>
          </w:tcPr>
          <w:p w:rsidR="00906FF3" w:rsidRPr="00CF148B" w:rsidRDefault="00906FF3" w:rsidP="0016420A">
            <w:pPr>
              <w:rPr>
                <w:b/>
              </w:rPr>
            </w:pPr>
            <w:r w:rsidRPr="00CF148B">
              <w:rPr>
                <w:b/>
              </w:rPr>
              <w:t>185.3</w:t>
            </w:r>
          </w:p>
        </w:tc>
        <w:tc>
          <w:tcPr>
            <w:tcW w:w="1867" w:type="dxa"/>
          </w:tcPr>
          <w:p w:rsidR="00906FF3" w:rsidRPr="00CF148B" w:rsidRDefault="00451438" w:rsidP="0016420A">
            <w:pPr>
              <w:rPr>
                <w:b/>
              </w:rPr>
            </w:pPr>
            <w:r w:rsidRPr="00CF148B">
              <w:rPr>
                <w:b/>
              </w:rPr>
              <w:t>24 to 144</w:t>
            </w:r>
          </w:p>
        </w:tc>
        <w:tc>
          <w:tcPr>
            <w:tcW w:w="1868" w:type="dxa"/>
          </w:tcPr>
          <w:p w:rsidR="00906FF3" w:rsidRPr="00CF148B" w:rsidRDefault="00451438" w:rsidP="0016420A">
            <w:pPr>
              <w:rPr>
                <w:b/>
              </w:rPr>
            </w:pPr>
            <w:r w:rsidRPr="00CF148B">
              <w:rPr>
                <w:b/>
              </w:rPr>
              <w:t>38.4</w:t>
            </w:r>
          </w:p>
        </w:tc>
      </w:tr>
    </w:tbl>
    <w:p w:rsidR="00F001B2" w:rsidRDefault="00F001B2"/>
    <w:p w:rsidR="002C026D" w:rsidRDefault="002C026D"/>
    <w:sectPr w:rsidR="002C026D" w:rsidSect="0023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8D1E55"/>
    <w:rsid w:val="000561CF"/>
    <w:rsid w:val="0008549A"/>
    <w:rsid w:val="000A7CEF"/>
    <w:rsid w:val="00141E91"/>
    <w:rsid w:val="00174FB9"/>
    <w:rsid w:val="001869ED"/>
    <w:rsid w:val="00236719"/>
    <w:rsid w:val="002A0977"/>
    <w:rsid w:val="002B5E24"/>
    <w:rsid w:val="002C026D"/>
    <w:rsid w:val="002C73FC"/>
    <w:rsid w:val="002E44DC"/>
    <w:rsid w:val="00340463"/>
    <w:rsid w:val="003B7789"/>
    <w:rsid w:val="003C71CC"/>
    <w:rsid w:val="003F0512"/>
    <w:rsid w:val="003F213A"/>
    <w:rsid w:val="00451438"/>
    <w:rsid w:val="00472BC7"/>
    <w:rsid w:val="00490480"/>
    <w:rsid w:val="004B0C16"/>
    <w:rsid w:val="005871BE"/>
    <w:rsid w:val="006A54AB"/>
    <w:rsid w:val="00725EB9"/>
    <w:rsid w:val="007958C2"/>
    <w:rsid w:val="007C53D5"/>
    <w:rsid w:val="00842D42"/>
    <w:rsid w:val="00861912"/>
    <w:rsid w:val="00866889"/>
    <w:rsid w:val="00880F2C"/>
    <w:rsid w:val="008C67F4"/>
    <w:rsid w:val="008D1E55"/>
    <w:rsid w:val="008F4E40"/>
    <w:rsid w:val="00906FF3"/>
    <w:rsid w:val="00957B82"/>
    <w:rsid w:val="009F3314"/>
    <w:rsid w:val="00A22634"/>
    <w:rsid w:val="00B04456"/>
    <w:rsid w:val="00B36A21"/>
    <w:rsid w:val="00B7540D"/>
    <w:rsid w:val="00BB5FFE"/>
    <w:rsid w:val="00CD4929"/>
    <w:rsid w:val="00CE1790"/>
    <w:rsid w:val="00CF148B"/>
    <w:rsid w:val="00D91E32"/>
    <w:rsid w:val="00DD4D6A"/>
    <w:rsid w:val="00E464E9"/>
    <w:rsid w:val="00E857EB"/>
    <w:rsid w:val="00EA23A1"/>
    <w:rsid w:val="00EA358D"/>
    <w:rsid w:val="00F001B2"/>
    <w:rsid w:val="00F44792"/>
    <w:rsid w:val="00F84FA5"/>
    <w:rsid w:val="00FB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4B"/>
    <w:pPr>
      <w:spacing w:after="0" w:line="240" w:lineRule="auto"/>
    </w:pPr>
    <w:rPr>
      <w:sz w:val="24"/>
      <w:szCs w:val="24"/>
    </w:rPr>
  </w:style>
  <w:style w:type="paragraph" w:styleId="Heading1">
    <w:name w:val="heading 1"/>
    <w:basedOn w:val="Normal"/>
    <w:next w:val="Normal"/>
    <w:link w:val="Heading1Char"/>
    <w:uiPriority w:val="9"/>
    <w:qFormat/>
    <w:rsid w:val="00FB4D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4D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4D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4D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4D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4D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4D4B"/>
    <w:pPr>
      <w:spacing w:before="240" w:after="60"/>
      <w:outlineLvl w:val="6"/>
    </w:pPr>
  </w:style>
  <w:style w:type="paragraph" w:styleId="Heading8">
    <w:name w:val="heading 8"/>
    <w:basedOn w:val="Normal"/>
    <w:next w:val="Normal"/>
    <w:link w:val="Heading8Char"/>
    <w:uiPriority w:val="9"/>
    <w:semiHidden/>
    <w:unhideWhenUsed/>
    <w:qFormat/>
    <w:rsid w:val="00FB4D4B"/>
    <w:pPr>
      <w:spacing w:before="240" w:after="60"/>
      <w:outlineLvl w:val="7"/>
    </w:pPr>
    <w:rPr>
      <w:i/>
      <w:iCs/>
    </w:rPr>
  </w:style>
  <w:style w:type="paragraph" w:styleId="Heading9">
    <w:name w:val="heading 9"/>
    <w:basedOn w:val="Normal"/>
    <w:next w:val="Normal"/>
    <w:link w:val="Heading9Char"/>
    <w:uiPriority w:val="9"/>
    <w:semiHidden/>
    <w:unhideWhenUsed/>
    <w:qFormat/>
    <w:rsid w:val="00FB4D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D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4D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4D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4D4B"/>
    <w:rPr>
      <w:b/>
      <w:bCs/>
      <w:sz w:val="28"/>
      <w:szCs w:val="28"/>
    </w:rPr>
  </w:style>
  <w:style w:type="character" w:customStyle="1" w:styleId="Heading5Char">
    <w:name w:val="Heading 5 Char"/>
    <w:basedOn w:val="DefaultParagraphFont"/>
    <w:link w:val="Heading5"/>
    <w:uiPriority w:val="9"/>
    <w:semiHidden/>
    <w:rsid w:val="00FB4D4B"/>
    <w:rPr>
      <w:b/>
      <w:bCs/>
      <w:i/>
      <w:iCs/>
      <w:sz w:val="26"/>
      <w:szCs w:val="26"/>
    </w:rPr>
  </w:style>
  <w:style w:type="character" w:customStyle="1" w:styleId="Heading6Char">
    <w:name w:val="Heading 6 Char"/>
    <w:basedOn w:val="DefaultParagraphFont"/>
    <w:link w:val="Heading6"/>
    <w:uiPriority w:val="9"/>
    <w:semiHidden/>
    <w:rsid w:val="00FB4D4B"/>
    <w:rPr>
      <w:b/>
      <w:bCs/>
    </w:rPr>
  </w:style>
  <w:style w:type="character" w:customStyle="1" w:styleId="Heading7Char">
    <w:name w:val="Heading 7 Char"/>
    <w:basedOn w:val="DefaultParagraphFont"/>
    <w:link w:val="Heading7"/>
    <w:uiPriority w:val="9"/>
    <w:semiHidden/>
    <w:rsid w:val="00FB4D4B"/>
    <w:rPr>
      <w:sz w:val="24"/>
      <w:szCs w:val="24"/>
    </w:rPr>
  </w:style>
  <w:style w:type="character" w:customStyle="1" w:styleId="Heading8Char">
    <w:name w:val="Heading 8 Char"/>
    <w:basedOn w:val="DefaultParagraphFont"/>
    <w:link w:val="Heading8"/>
    <w:uiPriority w:val="9"/>
    <w:semiHidden/>
    <w:rsid w:val="00FB4D4B"/>
    <w:rPr>
      <w:i/>
      <w:iCs/>
      <w:sz w:val="24"/>
      <w:szCs w:val="24"/>
    </w:rPr>
  </w:style>
  <w:style w:type="character" w:customStyle="1" w:styleId="Heading9Char">
    <w:name w:val="Heading 9 Char"/>
    <w:basedOn w:val="DefaultParagraphFont"/>
    <w:link w:val="Heading9"/>
    <w:uiPriority w:val="9"/>
    <w:semiHidden/>
    <w:rsid w:val="00FB4D4B"/>
    <w:rPr>
      <w:rFonts w:asciiTheme="majorHAnsi" w:eastAsiaTheme="majorEastAsia" w:hAnsiTheme="majorHAnsi"/>
    </w:rPr>
  </w:style>
  <w:style w:type="paragraph" w:styleId="Title">
    <w:name w:val="Title"/>
    <w:basedOn w:val="Normal"/>
    <w:next w:val="Normal"/>
    <w:link w:val="TitleChar"/>
    <w:uiPriority w:val="10"/>
    <w:qFormat/>
    <w:rsid w:val="00FB4D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4D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4D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4D4B"/>
    <w:rPr>
      <w:rFonts w:asciiTheme="majorHAnsi" w:eastAsiaTheme="majorEastAsia" w:hAnsiTheme="majorHAnsi"/>
      <w:sz w:val="24"/>
      <w:szCs w:val="24"/>
    </w:rPr>
  </w:style>
  <w:style w:type="character" w:styleId="Strong">
    <w:name w:val="Strong"/>
    <w:basedOn w:val="DefaultParagraphFont"/>
    <w:uiPriority w:val="22"/>
    <w:qFormat/>
    <w:rsid w:val="00FB4D4B"/>
    <w:rPr>
      <w:b/>
      <w:bCs/>
    </w:rPr>
  </w:style>
  <w:style w:type="character" w:styleId="Emphasis">
    <w:name w:val="Emphasis"/>
    <w:basedOn w:val="DefaultParagraphFont"/>
    <w:uiPriority w:val="20"/>
    <w:qFormat/>
    <w:rsid w:val="00FB4D4B"/>
    <w:rPr>
      <w:rFonts w:asciiTheme="minorHAnsi" w:hAnsiTheme="minorHAnsi"/>
      <w:b/>
      <w:i/>
      <w:iCs/>
    </w:rPr>
  </w:style>
  <w:style w:type="paragraph" w:styleId="NoSpacing">
    <w:name w:val="No Spacing"/>
    <w:basedOn w:val="Normal"/>
    <w:uiPriority w:val="1"/>
    <w:qFormat/>
    <w:rsid w:val="00FB4D4B"/>
    <w:rPr>
      <w:szCs w:val="32"/>
    </w:rPr>
  </w:style>
  <w:style w:type="paragraph" w:styleId="ListParagraph">
    <w:name w:val="List Paragraph"/>
    <w:basedOn w:val="Normal"/>
    <w:uiPriority w:val="34"/>
    <w:qFormat/>
    <w:rsid w:val="00FB4D4B"/>
    <w:pPr>
      <w:ind w:left="720"/>
      <w:contextualSpacing/>
    </w:pPr>
  </w:style>
  <w:style w:type="paragraph" w:styleId="Quote">
    <w:name w:val="Quote"/>
    <w:basedOn w:val="Normal"/>
    <w:next w:val="Normal"/>
    <w:link w:val="QuoteChar"/>
    <w:uiPriority w:val="29"/>
    <w:qFormat/>
    <w:rsid w:val="00FB4D4B"/>
    <w:rPr>
      <w:i/>
    </w:rPr>
  </w:style>
  <w:style w:type="character" w:customStyle="1" w:styleId="QuoteChar">
    <w:name w:val="Quote Char"/>
    <w:basedOn w:val="DefaultParagraphFont"/>
    <w:link w:val="Quote"/>
    <w:uiPriority w:val="29"/>
    <w:rsid w:val="00FB4D4B"/>
    <w:rPr>
      <w:i/>
      <w:sz w:val="24"/>
      <w:szCs w:val="24"/>
    </w:rPr>
  </w:style>
  <w:style w:type="paragraph" w:styleId="IntenseQuote">
    <w:name w:val="Intense Quote"/>
    <w:basedOn w:val="Normal"/>
    <w:next w:val="Normal"/>
    <w:link w:val="IntenseQuoteChar"/>
    <w:uiPriority w:val="30"/>
    <w:qFormat/>
    <w:rsid w:val="00FB4D4B"/>
    <w:pPr>
      <w:ind w:left="720" w:right="720"/>
    </w:pPr>
    <w:rPr>
      <w:b/>
      <w:i/>
      <w:szCs w:val="22"/>
    </w:rPr>
  </w:style>
  <w:style w:type="character" w:customStyle="1" w:styleId="IntenseQuoteChar">
    <w:name w:val="Intense Quote Char"/>
    <w:basedOn w:val="DefaultParagraphFont"/>
    <w:link w:val="IntenseQuote"/>
    <w:uiPriority w:val="30"/>
    <w:rsid w:val="00FB4D4B"/>
    <w:rPr>
      <w:b/>
      <w:i/>
      <w:sz w:val="24"/>
    </w:rPr>
  </w:style>
  <w:style w:type="character" w:styleId="SubtleEmphasis">
    <w:name w:val="Subtle Emphasis"/>
    <w:uiPriority w:val="19"/>
    <w:qFormat/>
    <w:rsid w:val="00FB4D4B"/>
    <w:rPr>
      <w:i/>
      <w:color w:val="5A5A5A" w:themeColor="text1" w:themeTint="A5"/>
    </w:rPr>
  </w:style>
  <w:style w:type="character" w:styleId="IntenseEmphasis">
    <w:name w:val="Intense Emphasis"/>
    <w:basedOn w:val="DefaultParagraphFont"/>
    <w:uiPriority w:val="21"/>
    <w:qFormat/>
    <w:rsid w:val="00FB4D4B"/>
    <w:rPr>
      <w:b/>
      <w:i/>
      <w:sz w:val="24"/>
      <w:szCs w:val="24"/>
      <w:u w:val="single"/>
    </w:rPr>
  </w:style>
  <w:style w:type="character" w:styleId="SubtleReference">
    <w:name w:val="Subtle Reference"/>
    <w:basedOn w:val="DefaultParagraphFont"/>
    <w:uiPriority w:val="31"/>
    <w:qFormat/>
    <w:rsid w:val="00FB4D4B"/>
    <w:rPr>
      <w:sz w:val="24"/>
      <w:szCs w:val="24"/>
      <w:u w:val="single"/>
    </w:rPr>
  </w:style>
  <w:style w:type="character" w:styleId="IntenseReference">
    <w:name w:val="Intense Reference"/>
    <w:basedOn w:val="DefaultParagraphFont"/>
    <w:uiPriority w:val="32"/>
    <w:qFormat/>
    <w:rsid w:val="00FB4D4B"/>
    <w:rPr>
      <w:b/>
      <w:sz w:val="24"/>
      <w:u w:val="single"/>
    </w:rPr>
  </w:style>
  <w:style w:type="character" w:styleId="BookTitle">
    <w:name w:val="Book Title"/>
    <w:basedOn w:val="DefaultParagraphFont"/>
    <w:uiPriority w:val="33"/>
    <w:qFormat/>
    <w:rsid w:val="00FB4D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4D4B"/>
    <w:pPr>
      <w:outlineLvl w:val="9"/>
    </w:pPr>
  </w:style>
  <w:style w:type="table" w:styleId="TableGrid">
    <w:name w:val="Table Grid"/>
    <w:basedOn w:val="TableNormal"/>
    <w:uiPriority w:val="59"/>
    <w:rsid w:val="008D1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Fillmore County</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bpohlman</dc:creator>
  <cp:lastModifiedBy>Pohlman, Brenda</cp:lastModifiedBy>
  <cp:revision>35</cp:revision>
  <dcterms:created xsi:type="dcterms:W3CDTF">2012-05-23T21:00:00Z</dcterms:created>
  <dcterms:modified xsi:type="dcterms:W3CDTF">2012-12-29T00:57:00Z</dcterms:modified>
</cp:coreProperties>
</file>